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MINNESOTA</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  </w:t>
      </w:r>
    </w:p>
    <w:p w:rsidR="00000000" w:rsidDel="00000000" w:rsidP="00000000" w:rsidRDefault="00000000" w:rsidRPr="00000000" w14:paraId="0000019A">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all alcohol must be shipped to a licensed wholesaler's warehouse (Minn. Stat. 340A.3021). </w:t>
      </w:r>
    </w:p>
    <w:p w:rsidR="00000000" w:rsidDel="00000000" w:rsidP="00000000" w:rsidRDefault="00000000" w:rsidRPr="00000000" w14:paraId="0000019B">
      <w:pPr>
        <w:widowControl w:val="0"/>
        <w:spacing w:before="220" w:line="228" w:lineRule="auto"/>
        <w:ind w:left="28" w:right="273" w:hanging="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microdistilleries may be issued a license to sell alcohol for off-premises consumption (Minn.  Stat. 340A.22).  </w:t>
      </w:r>
    </w:p>
    <w:p w:rsidR="00000000" w:rsidDel="00000000" w:rsidP="00000000" w:rsidRDefault="00000000" w:rsidRPr="00000000" w14:paraId="0000019C">
      <w:pPr>
        <w:widowControl w:val="0"/>
        <w:spacing w:before="235" w:line="228" w:lineRule="auto"/>
        <w:ind w:left="19" w:right="5"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Places of Public Accommodation, including micro distiller cocktail rooms, are encouraged to offer food and beverage using delivery service, window service, walk-up service, drive-through service, or drive-up service.  Establishments are encouraged to continue utilizing these precautions to mitigate the potential transmission of COVID-19 even after June 10. Although distilleries and micro distiller cocktail rooms may provide indoor and outdoor service if they adhere to the applicable guidance available on the Stay Safe Minnesota website, Emergency Executive Order 21-11, signed on March 12, 2021, encourages Places of Public Accommodation to continue to offer food and beverages using delivery services, window service, walk-up service, drive-through service, or drive-up service. </w:t>
      </w:r>
    </w:p>
    <w:p w:rsidR="00000000" w:rsidDel="00000000" w:rsidP="00000000" w:rsidRDefault="00000000" w:rsidRPr="00000000" w14:paraId="0000019D">
      <w:pPr>
        <w:widowControl w:val="0"/>
        <w:spacing w:before="4" w:line="228" w:lineRule="auto"/>
        <w:ind w:left="19" w:right="1937" w:firstLine="0"/>
        <w:jc w:val="both"/>
        <w:rPr>
          <w:rFonts w:ascii="Calibri" w:cs="Calibri" w:eastAsia="Calibri" w:hAnsi="Calibri"/>
        </w:rPr>
      </w:pPr>
      <w:r w:rsidDel="00000000" w:rsidR="00000000" w:rsidRPr="00000000">
        <w:rPr>
          <w:rFonts w:ascii="Calibri" w:cs="Calibri" w:eastAsia="Calibri" w:hAnsi="Calibri"/>
          <w:b w:val="1"/>
          <w:rtl w:val="0"/>
        </w:rPr>
        <w:t xml:space="preserve">Emergency Executive Order 20-74 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9E">
      <w:pPr>
        <w:widowControl w:val="0"/>
        <w:spacing w:before="4" w:line="228" w:lineRule="auto"/>
        <w:ind w:left="19" w:right="1937" w:firstLine="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https://mn.gov/governor/assets/EO%2020-74%20Final_tcm1055-437539.pdf</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(June 5, 2020) </w:t>
      </w:r>
    </w:p>
    <w:p w:rsidR="00000000" w:rsidDel="00000000" w:rsidP="00000000" w:rsidRDefault="00000000" w:rsidRPr="00000000" w14:paraId="0000019F">
      <w:pPr>
        <w:widowControl w:val="0"/>
        <w:spacing w:before="4" w:line="228" w:lineRule="auto"/>
        <w:ind w:left="19" w:right="1937" w:firstLine="0"/>
        <w:jc w:val="both"/>
        <w:rPr>
          <w:rFonts w:ascii="Calibri" w:cs="Calibri" w:eastAsia="Calibri" w:hAnsi="Calibri"/>
        </w:rPr>
      </w:pPr>
      <w:r w:rsidDel="00000000" w:rsidR="00000000" w:rsidRPr="00000000">
        <w:rPr>
          <w:rFonts w:ascii="Calibri" w:cs="Calibri" w:eastAsia="Calibri" w:hAnsi="Calibri"/>
          <w:b w:val="1"/>
          <w:rtl w:val="0"/>
        </w:rPr>
        <w:t xml:space="preserve">Emergency Executive Order 21-11 Link</w:t>
      </w:r>
      <w:r w:rsidDel="00000000" w:rsidR="00000000" w:rsidRPr="00000000">
        <w:rPr>
          <w:rFonts w:ascii="Calibri" w:cs="Calibri" w:eastAsia="Calibri" w:hAnsi="Calibri"/>
          <w:rtl w:val="0"/>
        </w:rPr>
        <w:t xml:space="preserve">:</w:t>
      </w:r>
    </w:p>
    <w:p w:rsidR="00000000" w:rsidDel="00000000" w:rsidP="00000000" w:rsidRDefault="00000000" w:rsidRPr="00000000" w14:paraId="000001A0">
      <w:pPr>
        <w:widowControl w:val="0"/>
        <w:spacing w:before="4" w:line="228" w:lineRule="auto"/>
        <w:ind w:left="19" w:right="1937" w:firstLine="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https://mn.gov/governor/assets/EO%2021-11%20Final_tcm1055-472034.pdf</w:t>
        </w:r>
      </w:hyperlink>
      <w:r w:rsidDel="00000000" w:rsidR="00000000" w:rsidRPr="00000000">
        <w:rPr>
          <w:rFonts w:ascii="Calibri" w:cs="Calibri" w:eastAsia="Calibri" w:hAnsi="Calibri"/>
          <w:rtl w:val="0"/>
        </w:rPr>
        <w:t xml:space="preserve"> (March 12, 2021)</w:t>
      </w:r>
    </w:p>
    <w:p w:rsidR="00000000" w:rsidDel="00000000" w:rsidP="00000000" w:rsidRDefault="00000000" w:rsidRPr="00000000" w14:paraId="000001A1">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2">
      <w:pPr>
        <w:widowControl w:val="0"/>
        <w:spacing w:before="220"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Minnesota Statutes  </w:t>
      </w:r>
    </w:p>
    <w:p w:rsidR="00000000" w:rsidDel="00000000" w:rsidP="00000000" w:rsidRDefault="00000000" w:rsidRPr="00000000" w14:paraId="000001A3">
      <w:pPr>
        <w:widowControl w:val="0"/>
        <w:spacing w:before="225"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340A.22 MICRODISTILLERIES.  </w:t>
      </w:r>
    </w:p>
    <w:p w:rsidR="00000000" w:rsidDel="00000000" w:rsidP="00000000" w:rsidRDefault="00000000" w:rsidRPr="00000000" w14:paraId="000001A4">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Subd. 4. </w:t>
      </w:r>
      <w:r w:rsidDel="00000000" w:rsidR="00000000" w:rsidRPr="00000000">
        <w:rPr>
          <w:rFonts w:ascii="Calibri" w:cs="Calibri" w:eastAsia="Calibri" w:hAnsi="Calibri"/>
          <w:b w:val="1"/>
          <w:rtl w:val="0"/>
        </w:rPr>
        <w:t xml:space="preserve">Off-sale license</w:t>
      </w:r>
      <w:r w:rsidDel="00000000" w:rsidR="00000000" w:rsidRPr="00000000">
        <w:rPr>
          <w:rFonts w:ascii="Calibri" w:cs="Calibri" w:eastAsia="Calibri" w:hAnsi="Calibri"/>
          <w:rtl w:val="0"/>
        </w:rPr>
        <w:t xml:space="preserve">. A microdistillery may be issued a license by the local licensing authority for off-sale of distilled spirits, with the approval of the commissioner. The license may allow the sale of one 375 milliliter bottle per customer per day of product manufactured on site, subject to the following requirements: </w:t>
      </w:r>
    </w:p>
    <w:p w:rsidR="00000000" w:rsidDel="00000000" w:rsidP="00000000" w:rsidRDefault="00000000" w:rsidRPr="00000000" w14:paraId="000001A5">
      <w:pPr>
        <w:widowControl w:val="0"/>
        <w:spacing w:before="4" w:line="228" w:lineRule="auto"/>
        <w:ind w:left="19" w:right="711" w:firstLine="3.999999999999999"/>
        <w:jc w:val="both"/>
        <w:rPr>
          <w:rFonts w:ascii="Calibri" w:cs="Calibri" w:eastAsia="Calibri" w:hAnsi="Calibri"/>
        </w:rPr>
      </w:pPr>
      <w:r w:rsidDel="00000000" w:rsidR="00000000" w:rsidRPr="00000000">
        <w:rPr>
          <w:rFonts w:ascii="Calibri" w:cs="Calibri" w:eastAsia="Calibri" w:hAnsi="Calibri"/>
          <w:rtl w:val="0"/>
        </w:rPr>
        <w:t xml:space="preserve">(1) off-sale hours of sale must conform to hours of sale for retail off-sale licensees in the licensing municipality; and </w:t>
      </w:r>
    </w:p>
    <w:p w:rsidR="00000000" w:rsidDel="00000000" w:rsidP="00000000" w:rsidRDefault="00000000" w:rsidRPr="00000000" w14:paraId="000001A6">
      <w:pPr>
        <w:widowControl w:val="0"/>
        <w:spacing w:before="4" w:line="228" w:lineRule="auto"/>
        <w:ind w:left="19" w:right="711" w:firstLine="3.999999999999999"/>
        <w:jc w:val="both"/>
        <w:rPr>
          <w:rFonts w:ascii="Calibri" w:cs="Calibri" w:eastAsia="Calibri" w:hAnsi="Calibri"/>
        </w:rPr>
      </w:pPr>
      <w:r w:rsidDel="00000000" w:rsidR="00000000" w:rsidRPr="00000000">
        <w:rPr>
          <w:rFonts w:ascii="Calibri" w:cs="Calibri" w:eastAsia="Calibri" w:hAnsi="Calibri"/>
          <w:rtl w:val="0"/>
        </w:rPr>
        <w:t xml:space="preserve">(2) no brand may be sold at the microdistillery unless it is also available for distribution by wholesalers. </w:t>
      </w:r>
    </w:p>
    <w:p w:rsidR="00000000" w:rsidDel="00000000" w:rsidP="00000000" w:rsidRDefault="00000000" w:rsidRPr="00000000" w14:paraId="000001A7">
      <w:pPr>
        <w:widowControl w:val="0"/>
        <w:spacing w:before="4" w:line="228" w:lineRule="auto"/>
        <w:ind w:left="19" w:right="711" w:firstLine="3.999999999999999"/>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https://www.revisor.mn.gov/statutes/cite/340A.22</w:t>
        </w:r>
      </w:hyperlink>
      <w:r w:rsidDel="00000000" w:rsidR="00000000" w:rsidRPr="00000000">
        <w:rPr>
          <w:rtl w:val="0"/>
        </w:rPr>
      </w:r>
    </w:p>
    <w:p w:rsidR="00000000" w:rsidDel="00000000" w:rsidP="00000000" w:rsidRDefault="00000000" w:rsidRPr="00000000" w14:paraId="000001A8">
      <w:pPr>
        <w:widowControl w:val="0"/>
        <w:spacing w:before="230"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340A.3021 IMPORTATION RESTRICTIONS. </w:t>
      </w:r>
    </w:p>
    <w:p w:rsidR="00000000" w:rsidDel="00000000" w:rsidP="00000000" w:rsidRDefault="00000000" w:rsidRPr="00000000" w14:paraId="000001A9">
      <w:pPr>
        <w:widowControl w:val="0"/>
        <w:spacing w:line="240" w:lineRule="auto"/>
        <w:ind w:left="28" w:firstLine="0"/>
        <w:jc w:val="both"/>
        <w:rPr>
          <w:rFonts w:ascii="Calibri" w:cs="Calibri" w:eastAsia="Calibri" w:hAnsi="Calibri"/>
        </w:rPr>
      </w:pPr>
      <w:r w:rsidDel="00000000" w:rsidR="00000000" w:rsidRPr="00000000">
        <w:rPr>
          <w:rFonts w:ascii="Calibri" w:cs="Calibri" w:eastAsia="Calibri" w:hAnsi="Calibri"/>
          <w:rtl w:val="0"/>
        </w:rPr>
        <w:t xml:space="preserve">Subdivision 1. </w:t>
      </w:r>
      <w:r w:rsidDel="00000000" w:rsidR="00000000" w:rsidRPr="00000000">
        <w:rPr>
          <w:rFonts w:ascii="Calibri" w:cs="Calibri" w:eastAsia="Calibri" w:hAnsi="Calibri"/>
          <w:b w:val="1"/>
          <w:rtl w:val="0"/>
        </w:rPr>
        <w:t xml:space="preserve">Delivery to wholesaler only</w:t>
      </w:r>
      <w:r w:rsidDel="00000000" w:rsidR="00000000" w:rsidRPr="00000000">
        <w:rPr>
          <w:rFonts w:ascii="Calibri" w:cs="Calibri" w:eastAsia="Calibri" w:hAnsi="Calibri"/>
          <w:rtl w:val="0"/>
        </w:rPr>
        <w:t xml:space="preserve">. (a) No person may consign, ship, or deliver alcoholic beverages to any place in Minnesota except to a licensed wholesaler’s warehouse, if the alcoholic beverages: </w:t>
      </w:r>
    </w:p>
    <w:p w:rsidR="00000000" w:rsidDel="00000000" w:rsidP="00000000" w:rsidRDefault="00000000" w:rsidRPr="00000000" w14:paraId="000001AA">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(1) were manufactured outside Minnesota; and </w:t>
      </w:r>
    </w:p>
    <w:p w:rsidR="00000000" w:rsidDel="00000000" w:rsidP="00000000" w:rsidRDefault="00000000" w:rsidRPr="00000000" w14:paraId="000001AB">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(2) have not previously been unloaded into a licensed wholesaler's warehouse in Minnesota. </w:t>
      </w:r>
    </w:p>
    <w:p w:rsidR="00000000" w:rsidDel="00000000" w:rsidP="00000000" w:rsidRDefault="00000000" w:rsidRPr="00000000" w14:paraId="000001AC">
      <w:pPr>
        <w:widowControl w:val="0"/>
        <w:spacing w:line="228" w:lineRule="auto"/>
        <w:ind w:left="15" w:right="2" w:firstLine="7.999999999999998"/>
        <w:jc w:val="both"/>
        <w:rPr>
          <w:rFonts w:ascii="Calibri" w:cs="Calibri" w:eastAsia="Calibri" w:hAnsi="Calibri"/>
        </w:rPr>
      </w:pPr>
      <w:r w:rsidDel="00000000" w:rsidR="00000000" w:rsidRPr="00000000">
        <w:rPr>
          <w:rFonts w:ascii="Calibri" w:cs="Calibri" w:eastAsia="Calibri" w:hAnsi="Calibri"/>
          <w:rtl w:val="0"/>
        </w:rPr>
        <w:t xml:space="preserve">(b) No person may ship or consign into Minnesota any alcoholic beverages manufactured outside the state unless the alcoholic beverages are continuously in the possession of a motor carrier of property as defined in section 221.012, subdivision 27, or a common carrier as defined in section 218.011, subdivision 10, or are carried in a motor vehicle owned, leased, or rented by a wholesaler licensed under this chapter, between the time the alcoholic beverages are introduced into Minnesota and the time they are unloaded into a licensed wholesaler's warehouse. </w:t>
      </w:r>
    </w:p>
    <w:p w:rsidR="00000000" w:rsidDel="00000000" w:rsidP="00000000" w:rsidRDefault="00000000" w:rsidRPr="00000000" w14:paraId="000001AD">
      <w:pPr>
        <w:widowControl w:val="0"/>
        <w:spacing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https://www.revisor.mn.gov/statutes/cite/340A.22</w:t>
        </w:r>
      </w:hyperlink>
      <w:r w:rsidDel="00000000" w:rsidR="00000000" w:rsidRPr="00000000">
        <w:rPr>
          <w:rtl w:val="0"/>
        </w:rPr>
      </w:r>
    </w:p>
    <w:p w:rsidR="00000000" w:rsidDel="00000000" w:rsidP="00000000" w:rsidRDefault="00000000" w:rsidRPr="00000000" w14:paraId="000001AE">
      <w:pPr>
        <w:widowControl w:val="0"/>
        <w:spacing w:line="240" w:lineRule="auto"/>
        <w:ind w:left="19" w:firstLine="0"/>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F">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7076B"/>
    <w:pPr>
      <w:tabs>
        <w:tab w:val="center" w:pos="4680"/>
        <w:tab w:val="right" w:pos="9360"/>
      </w:tabs>
      <w:spacing w:line="240" w:lineRule="auto"/>
    </w:pPr>
  </w:style>
  <w:style w:type="character" w:styleId="HeaderChar" w:customStyle="1">
    <w:name w:val="Header Char"/>
    <w:basedOn w:val="DefaultParagraphFont"/>
    <w:link w:val="Header"/>
    <w:uiPriority w:val="99"/>
    <w:rsid w:val="0047076B"/>
  </w:style>
  <w:style w:type="paragraph" w:styleId="Footer">
    <w:name w:val="footer"/>
    <w:basedOn w:val="Normal"/>
    <w:link w:val="FooterChar"/>
    <w:uiPriority w:val="99"/>
    <w:unhideWhenUsed w:val="1"/>
    <w:rsid w:val="0047076B"/>
    <w:pPr>
      <w:tabs>
        <w:tab w:val="center" w:pos="4680"/>
        <w:tab w:val="right" w:pos="9360"/>
      </w:tabs>
      <w:spacing w:line="240" w:lineRule="auto"/>
    </w:pPr>
  </w:style>
  <w:style w:type="character" w:styleId="FooterChar" w:customStyle="1">
    <w:name w:val="Footer Char"/>
    <w:basedOn w:val="DefaultParagraphFont"/>
    <w:link w:val="Footer"/>
    <w:uiPriority w:val="99"/>
    <w:rsid w:val="0047076B"/>
  </w:style>
  <w:style w:type="character" w:styleId="Hyperlink">
    <w:name w:val="Hyperlink"/>
    <w:basedOn w:val="DefaultParagraphFont"/>
    <w:uiPriority w:val="99"/>
    <w:unhideWhenUsed w:val="1"/>
    <w:rsid w:val="00011C3E"/>
    <w:rPr>
      <w:color w:val="0000ff" w:themeColor="hyperlink"/>
      <w:u w:val="single"/>
    </w:rPr>
  </w:style>
  <w:style w:type="character" w:styleId="UnresolvedMention">
    <w:name w:val="Unresolved Mention"/>
    <w:basedOn w:val="DefaultParagraphFont"/>
    <w:uiPriority w:val="99"/>
    <w:semiHidden w:val="1"/>
    <w:unhideWhenUsed w:val="1"/>
    <w:rsid w:val="00011C3E"/>
    <w:rPr>
      <w:color w:val="605e5c"/>
      <w:shd w:color="auto" w:fill="e1dfdd" w:val="clear"/>
    </w:rPr>
  </w:style>
  <w:style w:type="character" w:styleId="FollowedHyperlink">
    <w:name w:val="FollowedHyperlink"/>
    <w:basedOn w:val="DefaultParagraphFont"/>
    <w:uiPriority w:val="99"/>
    <w:semiHidden w:val="1"/>
    <w:unhideWhenUsed w:val="1"/>
    <w:rsid w:val="00D9462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n.gov/governor/assets/EO%2020-74%20Final_tcm1055-437539.pdf" TargetMode="External"/><Relationship Id="rId10" Type="http://schemas.openxmlformats.org/officeDocument/2006/relationships/footer" Target="footer1.xml"/><Relationship Id="rId13" Type="http://schemas.openxmlformats.org/officeDocument/2006/relationships/hyperlink" Target="https://www.revisor.mn.gov/statutes/cite/340A.22" TargetMode="External"/><Relationship Id="rId12" Type="http://schemas.openxmlformats.org/officeDocument/2006/relationships/hyperlink" Target="https://mn.gov/governor/assets/EO%2021-11%20Final_tcm1055-47203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revisor.mn.gov/statutes/cite/340A.2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dLBh1ukF6SGZkzYvO9u06oRDw==">AMUW2mUE5GNzO2oPoh/hWtLhGMWK5uVfTrOjOFxNZSkuzxw3K7arKpsAnsis+BDgml4IQJe/dZJBU0mGD7umq/98u6OSOMOhk1nTF2sgBYVwqO4InwnW7ABzIJMvJ70RZOG+nxCEn87hrHyvd03kEzDUpQcnxUHBPgMOv7HqjIQYRIip7LQRRTmAIVymxSrazH1WAJTG4JZ1bvyqOgSasL4C5fKQDY1waWJONoLIufq9VCGaeOMYbL0SSgIj4YlNfvLHjCFaceInHdrICWNguCm9fLiFZqQ2DQQA8U0t2qI50iAcXQshpihRH17o1k2gEgQ+VbYnZb2McYpAr6+JNiZobEaOuNMoD3WGKfyZKPtUWSb747kYvav1dol8YJdH0sW8u1T31i590PYkOh6uzJanDcmL2HCC0hpLM83rpIpLyI7XWTiAFhWLeOiwMH6yoBN1JCOMEoxbSR+KVCr8dihReWscUao2i9TqLwmvwpLXG9g+hUrrducgzgEXZjVSL5IB1fslzQfJnJ2ePHzAZyT8KUGbZxULkW02/pld5pfBuE/PRDex3vfeu0FWLc+xVVlvio+n0IforbweY+u6hwAK6J9P58sScW34NphoBl3z2jQmPt3c2RwBSpZzivLVwdXS+bxAw9S0E7QVwCOCUkGLwEWmIERl/bywFqv6UMPHoRbu9BIp5NWlS0L7yo6l1qOm4hYM0NE/3os2xKmt+vDPxQZOdeNlTeR6m8yBp2OhlCFrVFf7BREfh+6twAwk50z5nF+fG3Rn5Ec5Rnk1D7JC4FBQ0thI2ti1uwIvSjet/P91Z61bgCHfvAbWDE/ECeOTgElm5RpuI2XTCxG4p0v9+c3w9GAPTG3jtCexFhMKfe5ry25LqwwUEn+JUYo1UmM/7TQJvlspA5H/o2zz5xxeNMN8/KX5JTNl6r4HRf3lXAKWqmOWRBerEg9uXJIbeFidn7Zhjh9MeO/HjBR1/PJgVog7/IBdK+YoKKiK+1CQlnVL+ES4DjwlF0eSkZNLiOlhVwLOY2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2021-08-02T11:42:00Z</dcterms:created>
</cp:coreProperties>
</file>